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1098" w14:textId="77777777"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 w:rsidR="007E6060">
        <w:rPr>
          <w:b/>
          <w:sz w:val="32"/>
          <w:u w:val="single"/>
          <w:lang w:val="en-US"/>
        </w:rPr>
        <w:t xml:space="preserve"> Year 13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8779" w:type="dxa"/>
        <w:tblLook w:val="04A0" w:firstRow="1" w:lastRow="0" w:firstColumn="1" w:lastColumn="0" w:noHBand="0" w:noVBand="1"/>
      </w:tblPr>
      <w:tblGrid>
        <w:gridCol w:w="1464"/>
        <w:gridCol w:w="7315"/>
      </w:tblGrid>
      <w:tr w:rsidR="00F113BB" w14:paraId="0636CFD3" w14:textId="77777777" w:rsidTr="00FE311F">
        <w:trPr>
          <w:trHeight w:val="397"/>
        </w:trPr>
        <w:tc>
          <w:tcPr>
            <w:tcW w:w="1295" w:type="dxa"/>
          </w:tcPr>
          <w:p w14:paraId="544A4DFE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7484" w:type="dxa"/>
          </w:tcPr>
          <w:p w14:paraId="419EDAA5" w14:textId="2E686E88" w:rsidR="00F113BB" w:rsidRPr="00EF2ECE" w:rsidRDefault="004D047B" w:rsidP="00F113BB">
            <w:pPr>
              <w:rPr>
                <w:b/>
                <w:sz w:val="28"/>
                <w:szCs w:val="28"/>
                <w:lang w:val="en-US"/>
              </w:rPr>
            </w:pPr>
            <w:r w:rsidRPr="00EF2ECE">
              <w:rPr>
                <w:b/>
                <w:sz w:val="28"/>
                <w:szCs w:val="28"/>
                <w:lang w:val="en-US"/>
              </w:rPr>
              <w:t>A Level Design and Technology (Product Design)</w:t>
            </w:r>
          </w:p>
        </w:tc>
      </w:tr>
      <w:tr w:rsidR="00F113BB" w14:paraId="5D8D53C0" w14:textId="77777777" w:rsidTr="00FE311F">
        <w:trPr>
          <w:trHeight w:val="12915"/>
        </w:trPr>
        <w:tc>
          <w:tcPr>
            <w:tcW w:w="1295" w:type="dxa"/>
          </w:tcPr>
          <w:p w14:paraId="7FCF89FF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7484" w:type="dxa"/>
          </w:tcPr>
          <w:p w14:paraId="73667D1E" w14:textId="77777777" w:rsidR="00EF2ECE" w:rsidRDefault="004D047B" w:rsidP="00F113BB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EF2ECE">
              <w:rPr>
                <w:b/>
                <w:color w:val="FF0000"/>
                <w:sz w:val="24"/>
                <w:szCs w:val="24"/>
                <w:lang w:val="en-US"/>
              </w:rPr>
              <w:t>Component 1</w:t>
            </w:r>
            <w:r w:rsidR="00EF2ECE">
              <w:rPr>
                <w:b/>
                <w:color w:val="FF0000"/>
                <w:sz w:val="24"/>
                <w:szCs w:val="24"/>
                <w:lang w:val="en-US"/>
              </w:rPr>
              <w:t>: Design and Technology in 21</w:t>
            </w:r>
            <w:r w:rsidR="00EF2ECE" w:rsidRPr="00EF2ECE">
              <w:rPr>
                <w:b/>
                <w:color w:val="FF0000"/>
                <w:sz w:val="24"/>
                <w:szCs w:val="24"/>
                <w:vertAlign w:val="superscript"/>
                <w:lang w:val="en-US"/>
              </w:rPr>
              <w:t>st</w:t>
            </w:r>
            <w:r w:rsidR="00EF2ECE">
              <w:rPr>
                <w:b/>
                <w:color w:val="FF0000"/>
                <w:sz w:val="24"/>
                <w:szCs w:val="24"/>
                <w:lang w:val="en-US"/>
              </w:rPr>
              <w:t xml:space="preserve"> Century</w:t>
            </w:r>
          </w:p>
          <w:p w14:paraId="4942EA84" w14:textId="72233B9A" w:rsidR="004D047B" w:rsidRDefault="00EF2ECE" w:rsidP="00F113BB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Written </w:t>
            </w:r>
            <w:r w:rsidR="00E56B28" w:rsidRPr="00EF2ECE">
              <w:rPr>
                <w:b/>
                <w:color w:val="FF0000"/>
                <w:sz w:val="24"/>
                <w:szCs w:val="24"/>
                <w:lang w:val="en-US"/>
              </w:rPr>
              <w:t>Examination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:</w:t>
            </w:r>
            <w:r w:rsidR="00E56B28" w:rsidRPr="00EF2ECE">
              <w:rPr>
                <w:b/>
                <w:color w:val="FF0000"/>
                <w:sz w:val="24"/>
                <w:szCs w:val="24"/>
                <w:lang w:val="en-US"/>
              </w:rPr>
              <w:t xml:space="preserve"> 3 hours</w:t>
            </w:r>
            <w:r w:rsidR="00882D55">
              <w:rPr>
                <w:b/>
                <w:color w:val="FF0000"/>
                <w:sz w:val="24"/>
                <w:szCs w:val="24"/>
                <w:lang w:val="en-US"/>
              </w:rPr>
              <w:t xml:space="preserve"> , Thursday 9</w:t>
            </w:r>
            <w:r w:rsidR="00882D55" w:rsidRPr="00882D55">
              <w:rPr>
                <w:b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="00882D55">
              <w:rPr>
                <w:b/>
                <w:color w:val="FF0000"/>
                <w:sz w:val="24"/>
                <w:szCs w:val="24"/>
                <w:lang w:val="en-US"/>
              </w:rPr>
              <w:t xml:space="preserve"> June AM session.</w:t>
            </w:r>
          </w:p>
          <w:p w14:paraId="6BFF9245" w14:textId="2C75D770" w:rsidR="00EF2ECE" w:rsidRDefault="00EF2ECE" w:rsidP="00F113BB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50% of qualification</w:t>
            </w:r>
          </w:p>
          <w:p w14:paraId="3F64B786" w14:textId="2855D68F" w:rsidR="00EF2ECE" w:rsidRPr="00C9655A" w:rsidRDefault="00220A2B" w:rsidP="00C9655A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  <w:lang w:val="en-US"/>
              </w:rPr>
            </w:pPr>
            <w:hyperlink r:id="rId9" w:history="1">
              <w:r w:rsidR="00C9655A" w:rsidRPr="00C9655A">
                <w:rPr>
                  <w:rStyle w:val="Hyperlink"/>
                  <w:b/>
                  <w:sz w:val="24"/>
                  <w:szCs w:val="24"/>
                  <w:lang w:val="en-US"/>
                </w:rPr>
                <w:t>Eduqas Advance Information Statement</w:t>
              </w:r>
            </w:hyperlink>
          </w:p>
          <w:p w14:paraId="2F836E0C" w14:textId="77777777" w:rsidR="00C9655A" w:rsidRDefault="00C9655A" w:rsidP="00F113BB">
            <w:pPr>
              <w:rPr>
                <w:sz w:val="24"/>
                <w:szCs w:val="24"/>
                <w:lang w:val="en-US"/>
              </w:rPr>
            </w:pPr>
          </w:p>
          <w:p w14:paraId="4E66E308" w14:textId="59B5D399" w:rsidR="004D047B" w:rsidRPr="00EF2ECE" w:rsidRDefault="004D047B" w:rsidP="00F113BB">
            <w:pPr>
              <w:rPr>
                <w:sz w:val="24"/>
                <w:szCs w:val="24"/>
                <w:lang w:val="en-US"/>
              </w:rPr>
            </w:pPr>
            <w:r w:rsidRPr="00EF2ECE">
              <w:rPr>
                <w:sz w:val="24"/>
                <w:szCs w:val="24"/>
                <w:lang w:val="en-US"/>
              </w:rPr>
              <w:t>All of specification content could be assessed through low tariff and synoptic questions.</w:t>
            </w:r>
          </w:p>
          <w:p w14:paraId="3ACD8F27" w14:textId="27F1EA5A" w:rsidR="00EF2ECE" w:rsidRPr="00EF2ECE" w:rsidRDefault="00EF2ECE" w:rsidP="00F113BB">
            <w:pPr>
              <w:rPr>
                <w:sz w:val="24"/>
                <w:szCs w:val="24"/>
                <w:lang w:val="en-US"/>
              </w:rPr>
            </w:pPr>
            <w:r w:rsidRPr="00EF2ECE">
              <w:rPr>
                <w:sz w:val="24"/>
                <w:szCs w:val="24"/>
                <w:lang w:val="en-US"/>
              </w:rPr>
              <w:t>Advance information is NOT provided for questions assessing the use of mathematical skills.</w:t>
            </w:r>
          </w:p>
          <w:p w14:paraId="4BC3AACE" w14:textId="25AC2675" w:rsidR="004D047B" w:rsidRPr="00EF2ECE" w:rsidRDefault="004D047B" w:rsidP="00F113BB">
            <w:pPr>
              <w:rPr>
                <w:sz w:val="24"/>
                <w:szCs w:val="24"/>
                <w:lang w:val="en-US"/>
              </w:rPr>
            </w:pPr>
            <w:r w:rsidRPr="00EF2ECE">
              <w:rPr>
                <w:sz w:val="24"/>
                <w:szCs w:val="24"/>
                <w:lang w:val="en-US"/>
              </w:rPr>
              <w:t xml:space="preserve">Eduqas have provided the following specification content as </w:t>
            </w:r>
            <w:r w:rsidR="00E56B28" w:rsidRPr="00EF2ECE">
              <w:rPr>
                <w:sz w:val="24"/>
                <w:szCs w:val="24"/>
                <w:lang w:val="en-US"/>
              </w:rPr>
              <w:t xml:space="preserve">particular </w:t>
            </w:r>
            <w:r w:rsidRPr="00EF2ECE">
              <w:rPr>
                <w:sz w:val="24"/>
                <w:szCs w:val="24"/>
                <w:lang w:val="en-US"/>
              </w:rPr>
              <w:t>focus areas</w:t>
            </w:r>
            <w:r w:rsidR="00E56B28" w:rsidRPr="00EF2ECE">
              <w:rPr>
                <w:sz w:val="24"/>
                <w:szCs w:val="24"/>
                <w:lang w:val="en-US"/>
              </w:rPr>
              <w:t xml:space="preserve"> for preparation</w:t>
            </w:r>
            <w:r w:rsidR="00FE311F">
              <w:rPr>
                <w:sz w:val="24"/>
                <w:szCs w:val="24"/>
                <w:lang w:val="en-US"/>
              </w:rPr>
              <w:t>:</w:t>
            </w:r>
          </w:p>
          <w:p w14:paraId="6AC3DC12" w14:textId="6859F77C" w:rsidR="00E56B28" w:rsidRPr="00EF2ECE" w:rsidRDefault="00E56B28" w:rsidP="00FE311F">
            <w:pPr>
              <w:ind w:left="720"/>
              <w:rPr>
                <w:b/>
                <w:sz w:val="24"/>
                <w:szCs w:val="24"/>
                <w:lang w:val="en-US"/>
              </w:rPr>
            </w:pPr>
            <w:r w:rsidRPr="00EF2ECE">
              <w:rPr>
                <w:b/>
                <w:sz w:val="24"/>
                <w:szCs w:val="24"/>
                <w:lang w:val="en-US"/>
              </w:rPr>
              <w:t>Unit 2.2.1 Designing and Innovation</w:t>
            </w:r>
          </w:p>
          <w:p w14:paraId="5E78410A" w14:textId="2DB592CF" w:rsidR="00E56B28" w:rsidRPr="00EF2ECE" w:rsidRDefault="00E56B28" w:rsidP="00FE311F">
            <w:pPr>
              <w:ind w:left="1440"/>
              <w:rPr>
                <w:sz w:val="24"/>
                <w:szCs w:val="24"/>
                <w:lang w:val="en-US"/>
              </w:rPr>
            </w:pPr>
            <w:r w:rsidRPr="00EF2ECE">
              <w:rPr>
                <w:sz w:val="24"/>
                <w:szCs w:val="24"/>
                <w:lang w:val="en-US"/>
              </w:rPr>
              <w:t>Principles of Designing</w:t>
            </w:r>
          </w:p>
          <w:p w14:paraId="29CDD436" w14:textId="7D06CC5A" w:rsidR="00E56B28" w:rsidRPr="00EF2ECE" w:rsidRDefault="00E56B28" w:rsidP="00FE311F">
            <w:pPr>
              <w:ind w:left="1440"/>
              <w:rPr>
                <w:sz w:val="24"/>
                <w:szCs w:val="24"/>
                <w:lang w:val="en-US"/>
              </w:rPr>
            </w:pPr>
            <w:r w:rsidRPr="00EF2ECE">
              <w:rPr>
                <w:sz w:val="24"/>
                <w:szCs w:val="24"/>
                <w:lang w:val="en-US"/>
              </w:rPr>
              <w:t>Quantitative and Qualitative Testing</w:t>
            </w:r>
          </w:p>
          <w:p w14:paraId="08DAA497" w14:textId="5C1CEA09" w:rsidR="00E56B28" w:rsidRPr="00EF2ECE" w:rsidRDefault="00E56B28" w:rsidP="00FE311F">
            <w:pPr>
              <w:ind w:left="720"/>
              <w:rPr>
                <w:b/>
                <w:sz w:val="24"/>
                <w:szCs w:val="24"/>
                <w:lang w:val="en-US"/>
              </w:rPr>
            </w:pPr>
            <w:r w:rsidRPr="00EF2ECE">
              <w:rPr>
                <w:b/>
                <w:sz w:val="24"/>
                <w:szCs w:val="24"/>
                <w:lang w:val="en-US"/>
              </w:rPr>
              <w:t>Unit 2.2.2 Materials and Components</w:t>
            </w:r>
          </w:p>
          <w:p w14:paraId="5C4B3196" w14:textId="147B10FF" w:rsidR="00E56B28" w:rsidRPr="00EF2ECE" w:rsidRDefault="00E56B28" w:rsidP="00FE311F">
            <w:pPr>
              <w:ind w:left="1440"/>
              <w:rPr>
                <w:sz w:val="24"/>
                <w:szCs w:val="24"/>
                <w:lang w:val="en-US"/>
              </w:rPr>
            </w:pPr>
            <w:r w:rsidRPr="00EF2ECE">
              <w:rPr>
                <w:sz w:val="24"/>
                <w:szCs w:val="24"/>
                <w:lang w:val="en-US"/>
              </w:rPr>
              <w:t>Materials, Components and their potential application</w:t>
            </w:r>
          </w:p>
          <w:p w14:paraId="5047B58B" w14:textId="6620EB9F" w:rsidR="00E56B28" w:rsidRPr="00EF2ECE" w:rsidRDefault="00E56B28" w:rsidP="00FE311F">
            <w:pPr>
              <w:ind w:left="720"/>
              <w:rPr>
                <w:b/>
                <w:sz w:val="24"/>
                <w:szCs w:val="24"/>
                <w:lang w:val="en-US"/>
              </w:rPr>
            </w:pPr>
            <w:r w:rsidRPr="00EF2ECE">
              <w:rPr>
                <w:b/>
                <w:sz w:val="24"/>
                <w:szCs w:val="24"/>
                <w:lang w:val="en-US"/>
              </w:rPr>
              <w:t>Unit 2.2.3 Processes</w:t>
            </w:r>
          </w:p>
          <w:p w14:paraId="137A7035" w14:textId="7E801593" w:rsidR="00E56B28" w:rsidRPr="00EF2ECE" w:rsidRDefault="00E56B28" w:rsidP="00FE311F">
            <w:pPr>
              <w:ind w:left="1440"/>
              <w:rPr>
                <w:sz w:val="24"/>
                <w:szCs w:val="24"/>
                <w:lang w:val="en-US"/>
              </w:rPr>
            </w:pPr>
            <w:r w:rsidRPr="00EF2ECE">
              <w:rPr>
                <w:sz w:val="24"/>
                <w:szCs w:val="24"/>
                <w:lang w:val="en-US"/>
              </w:rPr>
              <w:t>Computer Aided Manufacture (CAM)</w:t>
            </w:r>
          </w:p>
          <w:p w14:paraId="12C89B7F" w14:textId="05E1F29B" w:rsidR="00E56B28" w:rsidRPr="00EF2ECE" w:rsidRDefault="00E56B28" w:rsidP="00FE311F">
            <w:pPr>
              <w:ind w:left="720"/>
              <w:rPr>
                <w:b/>
                <w:sz w:val="24"/>
                <w:szCs w:val="24"/>
                <w:lang w:val="en-US"/>
              </w:rPr>
            </w:pPr>
            <w:r w:rsidRPr="00EF2ECE">
              <w:rPr>
                <w:b/>
                <w:sz w:val="24"/>
                <w:szCs w:val="24"/>
                <w:lang w:val="en-US"/>
              </w:rPr>
              <w:t>Unit 2.2.6 Human Responsibility</w:t>
            </w:r>
          </w:p>
          <w:p w14:paraId="4824DED4" w14:textId="42E3F919" w:rsidR="00E56B28" w:rsidRPr="00EF2ECE" w:rsidRDefault="00E56B28" w:rsidP="00FE311F">
            <w:pPr>
              <w:ind w:left="1440"/>
              <w:rPr>
                <w:sz w:val="24"/>
                <w:szCs w:val="24"/>
                <w:lang w:val="en-US"/>
              </w:rPr>
            </w:pPr>
            <w:r w:rsidRPr="00EF2ECE">
              <w:rPr>
                <w:sz w:val="24"/>
                <w:szCs w:val="24"/>
                <w:lang w:val="en-US"/>
              </w:rPr>
              <w:t>Service to the Customer</w:t>
            </w:r>
          </w:p>
          <w:p w14:paraId="3ED80A06" w14:textId="2BDBF43B" w:rsidR="00E56B28" w:rsidRPr="00EF2ECE" w:rsidRDefault="00E56B28" w:rsidP="00FE311F">
            <w:pPr>
              <w:ind w:left="720"/>
              <w:rPr>
                <w:b/>
                <w:sz w:val="24"/>
                <w:szCs w:val="24"/>
                <w:lang w:val="en-US"/>
              </w:rPr>
            </w:pPr>
            <w:r w:rsidRPr="00EF2ECE">
              <w:rPr>
                <w:b/>
                <w:sz w:val="24"/>
                <w:szCs w:val="24"/>
                <w:lang w:val="en-US"/>
              </w:rPr>
              <w:t>Unit 2.2.7 Public Interaction</w:t>
            </w:r>
          </w:p>
          <w:p w14:paraId="30354E4E" w14:textId="1B48E56C" w:rsidR="00E56B28" w:rsidRDefault="00E56B28" w:rsidP="00FE311F">
            <w:pPr>
              <w:ind w:left="1440"/>
              <w:rPr>
                <w:sz w:val="24"/>
                <w:szCs w:val="24"/>
                <w:lang w:val="en-US"/>
              </w:rPr>
            </w:pPr>
            <w:r w:rsidRPr="00EF2ECE">
              <w:rPr>
                <w:sz w:val="24"/>
                <w:szCs w:val="24"/>
                <w:lang w:val="en-US"/>
              </w:rPr>
              <w:t>Innovation in the Market Place</w:t>
            </w:r>
          </w:p>
          <w:p w14:paraId="56960E77" w14:textId="77777777" w:rsidR="00EF2ECE" w:rsidRPr="00EF2ECE" w:rsidRDefault="00EF2ECE" w:rsidP="00F113BB">
            <w:pPr>
              <w:rPr>
                <w:sz w:val="24"/>
                <w:szCs w:val="24"/>
                <w:lang w:val="en-US"/>
              </w:rPr>
            </w:pPr>
          </w:p>
          <w:p w14:paraId="10B904D4" w14:textId="6E89309B" w:rsidR="00EF2ECE" w:rsidRDefault="00EF2ECE" w:rsidP="00F11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Students should refer to the amplification of each topic area within the specification for amplification notes on expected content knowledge.  This </w:t>
            </w:r>
            <w:r w:rsidR="00FE311F">
              <w:rPr>
                <w:sz w:val="24"/>
                <w:szCs w:val="24"/>
                <w:lang w:val="en-US"/>
              </w:rPr>
              <w:t>is</w:t>
            </w:r>
            <w:r>
              <w:rPr>
                <w:sz w:val="24"/>
                <w:szCs w:val="24"/>
                <w:lang w:val="en-US"/>
              </w:rPr>
              <w:t xml:space="preserve"> summari</w:t>
            </w:r>
            <w:r w:rsidR="00FE311F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ed in </w:t>
            </w:r>
            <w:r w:rsidR="00FE311F"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  <w:lang w:val="en-US"/>
              </w:rPr>
              <w:t>Key Focus Area amplification</w:t>
            </w:r>
            <w:r w:rsidR="00FE311F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  <w:lang w:val="en-US"/>
              </w:rPr>
              <w:t xml:space="preserve"> document given to </w:t>
            </w:r>
            <w:r w:rsidR="00FE311F">
              <w:rPr>
                <w:sz w:val="24"/>
                <w:szCs w:val="24"/>
                <w:lang w:val="en-US"/>
              </w:rPr>
              <w:t>students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201A8FC4" w14:textId="2AFDCCBA" w:rsidR="00C9655A" w:rsidRPr="00C9655A" w:rsidRDefault="00220A2B" w:rsidP="00C965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hyperlink r:id="rId10" w:history="1">
              <w:r w:rsidR="00C9655A" w:rsidRPr="00C9655A">
                <w:rPr>
                  <w:rStyle w:val="Hyperlink"/>
                  <w:sz w:val="24"/>
                  <w:szCs w:val="24"/>
                  <w:lang w:val="en-US"/>
                </w:rPr>
                <w:t>Key Focus Area Amplification for students</w:t>
              </w:r>
            </w:hyperlink>
          </w:p>
          <w:p w14:paraId="08047C0D" w14:textId="77777777" w:rsidR="00EF2ECE" w:rsidRDefault="00EF2ECE" w:rsidP="00F113BB">
            <w:pPr>
              <w:rPr>
                <w:sz w:val="24"/>
                <w:szCs w:val="24"/>
                <w:lang w:val="en-US"/>
              </w:rPr>
            </w:pPr>
          </w:p>
          <w:p w14:paraId="7AD7BE36" w14:textId="77777777" w:rsidR="00EF2ECE" w:rsidRDefault="00EF2ECE" w:rsidP="00EF2ECE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EF2ECE">
              <w:rPr>
                <w:b/>
                <w:color w:val="FF0000"/>
                <w:sz w:val="24"/>
                <w:szCs w:val="24"/>
                <w:lang w:val="en-US"/>
              </w:rPr>
              <w:t xml:space="preserve">Component 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2 : Design and Make Project</w:t>
            </w:r>
          </w:p>
          <w:p w14:paraId="082F0C07" w14:textId="25AC1235" w:rsidR="00EF2ECE" w:rsidRDefault="00EF2ECE" w:rsidP="00EF2ECE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Non-examined assessment (NEA): approx. 80 hours</w:t>
            </w:r>
          </w:p>
          <w:p w14:paraId="229985D8" w14:textId="5543407D" w:rsidR="00EF2ECE" w:rsidRDefault="00EF2ECE" w:rsidP="00EF2ECE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50% of qualification</w:t>
            </w:r>
          </w:p>
          <w:p w14:paraId="100DCEF5" w14:textId="17BE9133" w:rsidR="00EF2ECE" w:rsidRDefault="00EF2ECE" w:rsidP="00EF2ECE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4F7844BF" w14:textId="27F0680A" w:rsidR="00EF2ECE" w:rsidRPr="00C9655A" w:rsidRDefault="00C9655A" w:rsidP="00F113BB">
            <w:pPr>
              <w:rPr>
                <w:color w:val="000000" w:themeColor="text1"/>
                <w:sz w:val="24"/>
                <w:szCs w:val="24"/>
              </w:rPr>
            </w:pPr>
            <w:r w:rsidRPr="00C9655A">
              <w:rPr>
                <w:color w:val="000000" w:themeColor="text1"/>
                <w:sz w:val="24"/>
                <w:szCs w:val="24"/>
                <w:lang w:val="en-US"/>
              </w:rPr>
              <w:t xml:space="preserve">No advance information however </w:t>
            </w:r>
            <w:r w:rsidR="00EF2ECE" w:rsidRPr="00C9655A">
              <w:rPr>
                <w:color w:val="000000" w:themeColor="text1"/>
                <w:sz w:val="24"/>
                <w:szCs w:val="24"/>
              </w:rPr>
              <w:t xml:space="preserve">Eduqas will accept where necessary: </w:t>
            </w:r>
          </w:p>
          <w:p w14:paraId="1024D48F" w14:textId="77777777" w:rsidR="00EF2ECE" w:rsidRPr="00EF2ECE" w:rsidRDefault="00EF2ECE" w:rsidP="00FE311F">
            <w:pPr>
              <w:ind w:left="720"/>
              <w:rPr>
                <w:sz w:val="24"/>
                <w:szCs w:val="24"/>
              </w:rPr>
            </w:pPr>
            <w:r w:rsidRPr="00EF2ECE">
              <w:rPr>
                <w:sz w:val="24"/>
                <w:szCs w:val="24"/>
              </w:rPr>
              <w:t>• mock-ups and/or clear/detailed intentions of prototypes to address the ‘manufacturing a prototype’ section of the NEA assessment criteria</w:t>
            </w:r>
          </w:p>
          <w:p w14:paraId="5326D1B9" w14:textId="1702BADC" w:rsidR="00F113BB" w:rsidRDefault="00EF2ECE" w:rsidP="00FE311F">
            <w:pPr>
              <w:ind w:left="720"/>
              <w:rPr>
                <w:lang w:val="en-US"/>
              </w:rPr>
            </w:pPr>
            <w:r w:rsidRPr="00EF2ECE">
              <w:rPr>
                <w:sz w:val="24"/>
                <w:szCs w:val="24"/>
              </w:rPr>
              <w:t xml:space="preserve"> • </w:t>
            </w:r>
            <w:r w:rsidR="00FE311F" w:rsidRPr="00EF2ECE">
              <w:rPr>
                <w:sz w:val="24"/>
                <w:szCs w:val="24"/>
              </w:rPr>
              <w:t>Demonstration</w:t>
            </w:r>
            <w:r w:rsidRPr="00EF2ECE">
              <w:rPr>
                <w:sz w:val="24"/>
                <w:szCs w:val="24"/>
              </w:rPr>
              <w:t xml:space="preserve"> of using machinery/tools/processes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  <w:p w14:paraId="6E3BBA47" w14:textId="77777777" w:rsidR="00FE311F" w:rsidRDefault="00FE311F" w:rsidP="00F113BB">
            <w:pPr>
              <w:rPr>
                <w:lang w:val="en-US"/>
              </w:rPr>
            </w:pPr>
          </w:p>
          <w:p w14:paraId="5F4973EF" w14:textId="7792CBB8" w:rsidR="00FE311F" w:rsidRPr="00882D55" w:rsidRDefault="00882D55" w:rsidP="00F113BB">
            <w:pPr>
              <w:rPr>
                <w:sz w:val="24"/>
                <w:szCs w:val="24"/>
                <w:lang w:val="en-US"/>
              </w:rPr>
            </w:pPr>
            <w:r w:rsidRPr="00882D55">
              <w:rPr>
                <w:sz w:val="24"/>
                <w:szCs w:val="24"/>
                <w:lang w:val="en-US"/>
              </w:rPr>
              <w:t>Students should submit an A2 design folder, sketch book and pre-production prototype for assessment on Wednesday 2</w:t>
            </w:r>
            <w:r w:rsidRPr="00882D55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882D55">
              <w:rPr>
                <w:sz w:val="24"/>
                <w:szCs w:val="24"/>
                <w:lang w:val="en-US"/>
              </w:rPr>
              <w:t xml:space="preserve"> March 2022.</w:t>
            </w:r>
          </w:p>
          <w:p w14:paraId="57EDEC41" w14:textId="4DB2F5BB" w:rsidR="00FE311F" w:rsidRDefault="00FE311F" w:rsidP="00F113BB">
            <w:pPr>
              <w:rPr>
                <w:lang w:val="en-US"/>
              </w:rPr>
            </w:pPr>
          </w:p>
        </w:tc>
      </w:tr>
    </w:tbl>
    <w:p w14:paraId="11D2DA4C" w14:textId="6589EFE8" w:rsidR="00F113BB" w:rsidRDefault="00F113BB" w:rsidP="00F113BB">
      <w:pPr>
        <w:rPr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39"/>
        <w:gridCol w:w="3518"/>
        <w:gridCol w:w="3969"/>
      </w:tblGrid>
      <w:tr w:rsidR="00CC24CE" w14:paraId="58EFBDAD" w14:textId="77777777" w:rsidTr="001D03FB">
        <w:trPr>
          <w:trHeight w:val="416"/>
        </w:trPr>
        <w:tc>
          <w:tcPr>
            <w:tcW w:w="8926" w:type="dxa"/>
            <w:gridSpan w:val="3"/>
          </w:tcPr>
          <w:p w14:paraId="4956C7B3" w14:textId="706E6C61" w:rsidR="00CC24CE" w:rsidRPr="002679A8" w:rsidRDefault="00CC24CE" w:rsidP="00C157E4">
            <w:pPr>
              <w:jc w:val="center"/>
              <w:rPr>
                <w:b/>
                <w:sz w:val="32"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CC24CE" w14:paraId="7544E6C9" w14:textId="77777777" w:rsidTr="00685996">
        <w:trPr>
          <w:trHeight w:val="531"/>
        </w:trPr>
        <w:tc>
          <w:tcPr>
            <w:tcW w:w="1439" w:type="dxa"/>
          </w:tcPr>
          <w:p w14:paraId="004C79E2" w14:textId="77777777" w:rsidR="00CC24CE" w:rsidRPr="002679A8" w:rsidRDefault="00CC24CE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3518" w:type="dxa"/>
            <w:vAlign w:val="center"/>
          </w:tcPr>
          <w:p w14:paraId="4D448DA5" w14:textId="77777777" w:rsidR="00CC24CE" w:rsidRDefault="00CC24CE" w:rsidP="00685996">
            <w:pPr>
              <w:jc w:val="center"/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1:</w:t>
            </w:r>
            <w:r>
              <w:rPr>
                <w:b/>
                <w:sz w:val="28"/>
                <w:lang w:val="en-US"/>
              </w:rPr>
              <w:t xml:space="preserve"> Wed AM</w:t>
            </w:r>
          </w:p>
          <w:p w14:paraId="10EC7306" w14:textId="1E4FDC82" w:rsidR="00CC24CE" w:rsidRPr="002679A8" w:rsidRDefault="00CC24CE" w:rsidP="00685996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Miss Abberley</w:t>
            </w:r>
          </w:p>
        </w:tc>
        <w:tc>
          <w:tcPr>
            <w:tcW w:w="3969" w:type="dxa"/>
            <w:vAlign w:val="center"/>
          </w:tcPr>
          <w:p w14:paraId="2A6D2333" w14:textId="77777777" w:rsidR="00CC24CE" w:rsidRDefault="00CC24CE" w:rsidP="00685996">
            <w:pPr>
              <w:jc w:val="center"/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2:</w:t>
            </w:r>
            <w:r>
              <w:rPr>
                <w:b/>
                <w:sz w:val="28"/>
                <w:lang w:val="en-US"/>
              </w:rPr>
              <w:t xml:space="preserve"> Fri PM</w:t>
            </w:r>
          </w:p>
          <w:p w14:paraId="5A056F31" w14:textId="4AC1A64E" w:rsidR="00CC24CE" w:rsidRPr="002679A8" w:rsidRDefault="00CC24CE" w:rsidP="00685996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Miss Hill</w:t>
            </w:r>
          </w:p>
        </w:tc>
      </w:tr>
      <w:tr w:rsidR="00CC24CE" w14:paraId="77901693" w14:textId="77777777" w:rsidTr="003E37D2">
        <w:trPr>
          <w:trHeight w:val="693"/>
        </w:trPr>
        <w:tc>
          <w:tcPr>
            <w:tcW w:w="1439" w:type="dxa"/>
          </w:tcPr>
          <w:p w14:paraId="6F56AEB8" w14:textId="77777777" w:rsidR="00CC24CE" w:rsidRPr="002679A8" w:rsidRDefault="00CC24CE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3518" w:type="dxa"/>
            <w:vAlign w:val="center"/>
          </w:tcPr>
          <w:p w14:paraId="60A976C8" w14:textId="73D3E95C" w:rsidR="00CC24CE" w:rsidRDefault="00CC24CE" w:rsidP="0068599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CC24CE">
              <w:rPr>
                <w:b/>
                <w:color w:val="FF0000"/>
                <w:sz w:val="24"/>
                <w:szCs w:val="24"/>
                <w:lang w:val="en-US"/>
              </w:rPr>
              <w:t>NEA SUBMISSION  DEADLINE</w:t>
            </w:r>
          </w:p>
          <w:p w14:paraId="23AC74C5" w14:textId="07C49F6A" w:rsidR="00CC24CE" w:rsidRPr="00CC24CE" w:rsidRDefault="00CC24CE" w:rsidP="0068599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END OF LESSON</w:t>
            </w:r>
          </w:p>
          <w:p w14:paraId="6B79B2DD" w14:textId="39111D9A" w:rsidR="00CC24CE" w:rsidRPr="00CC24CE" w:rsidRDefault="00CC24CE" w:rsidP="0068599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36CFC963" w14:textId="74C403DD" w:rsidR="00CC24CE" w:rsidRPr="00CC24CE" w:rsidRDefault="004E37B1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2.2.2 Polymer Materials</w:t>
            </w:r>
          </w:p>
        </w:tc>
      </w:tr>
      <w:tr w:rsidR="00CC24CE" w14:paraId="2CBDC7FD" w14:textId="77777777" w:rsidTr="00685996">
        <w:trPr>
          <w:trHeight w:val="839"/>
        </w:trPr>
        <w:tc>
          <w:tcPr>
            <w:tcW w:w="1439" w:type="dxa"/>
          </w:tcPr>
          <w:p w14:paraId="6DBEFA5D" w14:textId="77777777" w:rsidR="00CC24CE" w:rsidRPr="002679A8" w:rsidRDefault="00CC24CE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3518" w:type="dxa"/>
            <w:vAlign w:val="center"/>
          </w:tcPr>
          <w:p w14:paraId="5297B074" w14:textId="07393E9E" w:rsidR="00CC24CE" w:rsidRPr="00CC24CE" w:rsidRDefault="004E37B1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2.2.3 Metal Processes| CAM</w:t>
            </w:r>
          </w:p>
        </w:tc>
        <w:tc>
          <w:tcPr>
            <w:tcW w:w="3969" w:type="dxa"/>
            <w:vAlign w:val="center"/>
          </w:tcPr>
          <w:p w14:paraId="7FA389F2" w14:textId="32D96FB5" w:rsidR="00CC24CE" w:rsidRDefault="004E37B1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2.2.1 Principles of Designing;</w:t>
            </w:r>
          </w:p>
          <w:p w14:paraId="205936EC" w14:textId="5584E913" w:rsidR="001C0AE5" w:rsidRPr="00CC24CE" w:rsidRDefault="00882D55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2.2.1 </w:t>
            </w:r>
            <w:r w:rsidR="001C0AE5">
              <w:rPr>
                <w:sz w:val="24"/>
                <w:szCs w:val="24"/>
                <w:lang w:val="en-US"/>
              </w:rPr>
              <w:t>Feasibility Studies</w:t>
            </w:r>
          </w:p>
        </w:tc>
      </w:tr>
      <w:tr w:rsidR="00CC24CE" w14:paraId="362228B8" w14:textId="77777777" w:rsidTr="00685996">
        <w:trPr>
          <w:trHeight w:val="884"/>
        </w:trPr>
        <w:tc>
          <w:tcPr>
            <w:tcW w:w="1439" w:type="dxa"/>
          </w:tcPr>
          <w:p w14:paraId="07ADED1C" w14:textId="77777777" w:rsidR="00CC24CE" w:rsidRPr="002679A8" w:rsidRDefault="00CC24CE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3518" w:type="dxa"/>
            <w:vAlign w:val="center"/>
          </w:tcPr>
          <w:p w14:paraId="452E6CB7" w14:textId="77777777" w:rsidR="00CC24CE" w:rsidRDefault="00CC24CE" w:rsidP="00685996">
            <w:pPr>
              <w:jc w:val="center"/>
              <w:rPr>
                <w:sz w:val="24"/>
                <w:szCs w:val="24"/>
                <w:lang w:val="en-US"/>
              </w:rPr>
            </w:pPr>
            <w:r w:rsidRPr="004E37B1">
              <w:rPr>
                <w:b/>
                <w:color w:val="FF0000"/>
                <w:sz w:val="24"/>
                <w:szCs w:val="24"/>
                <w:lang w:val="en-US"/>
              </w:rPr>
              <w:t>MOCK EXAM</w:t>
            </w:r>
            <w:r w:rsidRPr="004E37B1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 hours</w:t>
            </w:r>
          </w:p>
          <w:p w14:paraId="1E4802AE" w14:textId="223CAFE7" w:rsidR="00CC24CE" w:rsidRPr="00CC24CE" w:rsidRDefault="004E37B1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NEA feedback and DIRT</w:t>
            </w:r>
          </w:p>
        </w:tc>
        <w:tc>
          <w:tcPr>
            <w:tcW w:w="3969" w:type="dxa"/>
            <w:vAlign w:val="center"/>
          </w:tcPr>
          <w:p w14:paraId="65A0475A" w14:textId="35C11F4D" w:rsidR="00CC24CE" w:rsidRPr="00CC24CE" w:rsidRDefault="004E37B1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Mock Exam feedback and review</w:t>
            </w:r>
          </w:p>
        </w:tc>
      </w:tr>
      <w:tr w:rsidR="00CC24CE" w14:paraId="177943C4" w14:textId="77777777" w:rsidTr="003E37D2">
        <w:trPr>
          <w:trHeight w:val="602"/>
        </w:trPr>
        <w:tc>
          <w:tcPr>
            <w:tcW w:w="1439" w:type="dxa"/>
          </w:tcPr>
          <w:p w14:paraId="5780DA4F" w14:textId="77777777" w:rsidR="00CC24CE" w:rsidRPr="002679A8" w:rsidRDefault="00CC24CE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3518" w:type="dxa"/>
            <w:vAlign w:val="center"/>
          </w:tcPr>
          <w:p w14:paraId="7EB33677" w14:textId="22515131" w:rsidR="00CC24CE" w:rsidRPr="00CC24CE" w:rsidRDefault="00CC24CE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NEA DIRT</w:t>
            </w:r>
          </w:p>
        </w:tc>
        <w:tc>
          <w:tcPr>
            <w:tcW w:w="3969" w:type="dxa"/>
            <w:vAlign w:val="center"/>
          </w:tcPr>
          <w:p w14:paraId="65480CBE" w14:textId="77777777" w:rsidR="00412D90" w:rsidRDefault="00685996" w:rsidP="00412D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2.2.6 Sustainability </w:t>
            </w:r>
          </w:p>
          <w:p w14:paraId="6EB8A414" w14:textId="6D515C1F" w:rsidR="001C0AE5" w:rsidRPr="00CC24CE" w:rsidRDefault="00685996" w:rsidP="00412D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Product Lifecycles</w:t>
            </w:r>
          </w:p>
        </w:tc>
      </w:tr>
      <w:tr w:rsidR="00CC24CE" w14:paraId="7BF87BD3" w14:textId="77777777" w:rsidTr="00685996">
        <w:trPr>
          <w:trHeight w:val="884"/>
        </w:trPr>
        <w:tc>
          <w:tcPr>
            <w:tcW w:w="1439" w:type="dxa"/>
          </w:tcPr>
          <w:p w14:paraId="222973A5" w14:textId="77777777" w:rsidR="00CC24CE" w:rsidRPr="002679A8" w:rsidRDefault="00CC24CE" w:rsidP="00CC24CE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3518" w:type="dxa"/>
            <w:vAlign w:val="center"/>
          </w:tcPr>
          <w:p w14:paraId="754379C2" w14:textId="66EE6C45" w:rsidR="00CC24CE" w:rsidRDefault="00CC24CE" w:rsidP="0068599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CC24CE">
              <w:rPr>
                <w:b/>
                <w:color w:val="FF0000"/>
                <w:sz w:val="24"/>
                <w:szCs w:val="24"/>
                <w:lang w:val="en-US"/>
              </w:rPr>
              <w:t xml:space="preserve">NEA SUBMISSION  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FINAL </w:t>
            </w:r>
            <w:r w:rsidRPr="00CC24CE">
              <w:rPr>
                <w:b/>
                <w:color w:val="FF0000"/>
                <w:sz w:val="24"/>
                <w:szCs w:val="24"/>
                <w:lang w:val="en-US"/>
              </w:rPr>
              <w:t>DEADLINE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START OF LESSON</w:t>
            </w:r>
          </w:p>
          <w:p w14:paraId="63BC8242" w14:textId="02DDE5C5" w:rsidR="00882D55" w:rsidRPr="00882D55" w:rsidRDefault="00882D55" w:rsidP="0068599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82D55">
              <w:rPr>
                <w:color w:val="000000" w:themeColor="text1"/>
                <w:sz w:val="24"/>
                <w:szCs w:val="24"/>
                <w:lang w:val="en-US"/>
              </w:rPr>
              <w:t>2.2.2 Timber Materials</w:t>
            </w:r>
          </w:p>
          <w:p w14:paraId="15C46ED7" w14:textId="1184BAA4" w:rsidR="00882D55" w:rsidRPr="00882D55" w:rsidRDefault="00882D55" w:rsidP="0068599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82D55">
              <w:rPr>
                <w:color w:val="000000" w:themeColor="text1"/>
                <w:sz w:val="24"/>
                <w:szCs w:val="24"/>
                <w:lang w:val="en-US"/>
              </w:rPr>
              <w:t>2.2.3 Timber Processes</w:t>
            </w:r>
          </w:p>
          <w:p w14:paraId="2B4658AF" w14:textId="77777777" w:rsidR="00CC24CE" w:rsidRPr="00CC24CE" w:rsidRDefault="00CC24CE" w:rsidP="0068599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44C4FFF3" w14:textId="479198F3" w:rsidR="00CC24CE" w:rsidRPr="00CC24CE" w:rsidRDefault="00685996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2.2.6 Circular economy</w:t>
            </w:r>
          </w:p>
        </w:tc>
      </w:tr>
      <w:tr w:rsidR="00CC24CE" w14:paraId="228DCA12" w14:textId="77777777" w:rsidTr="00685996">
        <w:trPr>
          <w:trHeight w:val="839"/>
        </w:trPr>
        <w:tc>
          <w:tcPr>
            <w:tcW w:w="1439" w:type="dxa"/>
          </w:tcPr>
          <w:p w14:paraId="06B355A7" w14:textId="77777777" w:rsidR="00CC24CE" w:rsidRPr="002679A8" w:rsidRDefault="00CC24CE" w:rsidP="00CC24CE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3518" w:type="dxa"/>
            <w:vAlign w:val="center"/>
          </w:tcPr>
          <w:p w14:paraId="28E98EDB" w14:textId="6AB41365" w:rsidR="00CC24CE" w:rsidRPr="00CC24CE" w:rsidRDefault="003E37D2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2.2.2 Smart and Composite Materials</w:t>
            </w:r>
          </w:p>
        </w:tc>
        <w:tc>
          <w:tcPr>
            <w:tcW w:w="3969" w:type="dxa"/>
            <w:vAlign w:val="center"/>
          </w:tcPr>
          <w:p w14:paraId="231A4153" w14:textId="3034FCDB" w:rsidR="00CC24CE" w:rsidRPr="00CC24CE" w:rsidRDefault="003E37D2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2.2.6 Ethical values in Product Design</w:t>
            </w:r>
          </w:p>
        </w:tc>
      </w:tr>
      <w:tr w:rsidR="004E37B1" w14:paraId="0088ADE4" w14:textId="77777777" w:rsidTr="00412D90">
        <w:trPr>
          <w:trHeight w:val="427"/>
        </w:trPr>
        <w:tc>
          <w:tcPr>
            <w:tcW w:w="1439" w:type="dxa"/>
          </w:tcPr>
          <w:p w14:paraId="0BDE6D15" w14:textId="197B8C04" w:rsidR="004E37B1" w:rsidRPr="002679A8" w:rsidRDefault="004E37B1" w:rsidP="00CC24CE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7487" w:type="dxa"/>
            <w:gridSpan w:val="2"/>
            <w:vMerge w:val="restart"/>
            <w:vAlign w:val="center"/>
          </w:tcPr>
          <w:p w14:paraId="264D5A29" w14:textId="4A4F9380" w:rsidR="004E37B1" w:rsidRPr="00CC24CE" w:rsidRDefault="004E37B1" w:rsidP="00412D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EASTER HOLIDAY</w:t>
            </w:r>
          </w:p>
        </w:tc>
      </w:tr>
      <w:tr w:rsidR="004E37B1" w14:paraId="212800F1" w14:textId="77777777" w:rsidTr="00412D90">
        <w:trPr>
          <w:trHeight w:val="405"/>
        </w:trPr>
        <w:tc>
          <w:tcPr>
            <w:tcW w:w="1439" w:type="dxa"/>
          </w:tcPr>
          <w:p w14:paraId="2A618046" w14:textId="33B72D47" w:rsidR="004E37B1" w:rsidRPr="002679A8" w:rsidRDefault="004E37B1" w:rsidP="00CC24CE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7487" w:type="dxa"/>
            <w:gridSpan w:val="2"/>
            <w:vMerge/>
            <w:vAlign w:val="center"/>
          </w:tcPr>
          <w:p w14:paraId="287B66EB" w14:textId="77777777" w:rsidR="004E37B1" w:rsidRPr="00CC24CE" w:rsidRDefault="004E37B1" w:rsidP="0068599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24CE" w14:paraId="04A082A5" w14:textId="77777777" w:rsidTr="003E37D2">
        <w:trPr>
          <w:trHeight w:val="642"/>
        </w:trPr>
        <w:tc>
          <w:tcPr>
            <w:tcW w:w="1439" w:type="dxa"/>
          </w:tcPr>
          <w:p w14:paraId="56CB0701" w14:textId="77777777" w:rsidR="00CC24CE" w:rsidRPr="002679A8" w:rsidRDefault="00CC24CE" w:rsidP="00CC24CE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3518" w:type="dxa"/>
            <w:vAlign w:val="center"/>
          </w:tcPr>
          <w:p w14:paraId="45D896AB" w14:textId="5D252360" w:rsidR="00CC24CE" w:rsidRPr="00CC24CE" w:rsidRDefault="003E37D2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2.2.3 Polymer Processes</w:t>
            </w:r>
          </w:p>
        </w:tc>
        <w:tc>
          <w:tcPr>
            <w:tcW w:w="3969" w:type="dxa"/>
            <w:vAlign w:val="center"/>
          </w:tcPr>
          <w:p w14:paraId="2118E7C7" w14:textId="00F1D20D" w:rsidR="00CC24CE" w:rsidRPr="00CC24CE" w:rsidRDefault="00685996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2.2.7 Innovation in the Market</w:t>
            </w:r>
          </w:p>
        </w:tc>
      </w:tr>
      <w:tr w:rsidR="00CC24CE" w14:paraId="51478732" w14:textId="77777777" w:rsidTr="003E37D2">
        <w:trPr>
          <w:trHeight w:val="708"/>
        </w:trPr>
        <w:tc>
          <w:tcPr>
            <w:tcW w:w="1439" w:type="dxa"/>
          </w:tcPr>
          <w:p w14:paraId="1CC0979C" w14:textId="77777777" w:rsidR="00CC24CE" w:rsidRPr="002679A8" w:rsidRDefault="00CC24CE" w:rsidP="00CC24CE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3518" w:type="dxa"/>
            <w:vAlign w:val="center"/>
          </w:tcPr>
          <w:p w14:paraId="238500D5" w14:textId="48108E18" w:rsidR="00CC24CE" w:rsidRPr="00CC24CE" w:rsidRDefault="001C0AE5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2.2.2 Metal Materials</w:t>
            </w:r>
          </w:p>
        </w:tc>
        <w:tc>
          <w:tcPr>
            <w:tcW w:w="3969" w:type="dxa"/>
            <w:vAlign w:val="center"/>
          </w:tcPr>
          <w:p w14:paraId="407DB7F5" w14:textId="58461A60" w:rsidR="00CC24CE" w:rsidRPr="00CC24CE" w:rsidRDefault="00685996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2.2.6 Service to the customer</w:t>
            </w:r>
          </w:p>
        </w:tc>
      </w:tr>
      <w:tr w:rsidR="00CC24CE" w14:paraId="2247139D" w14:textId="77777777" w:rsidTr="00685996">
        <w:trPr>
          <w:trHeight w:val="884"/>
        </w:trPr>
        <w:tc>
          <w:tcPr>
            <w:tcW w:w="1439" w:type="dxa"/>
          </w:tcPr>
          <w:p w14:paraId="401A61CE" w14:textId="77777777" w:rsidR="00CC24CE" w:rsidRPr="002679A8" w:rsidRDefault="00CC24CE" w:rsidP="00CC24CE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3518" w:type="dxa"/>
            <w:vAlign w:val="center"/>
          </w:tcPr>
          <w:p w14:paraId="1CC62ADF" w14:textId="77777777" w:rsidR="00685996" w:rsidRDefault="00685996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2.2.5 Product Analysis</w:t>
            </w:r>
          </w:p>
          <w:p w14:paraId="4F26F11B" w14:textId="75BEC6B1" w:rsidR="00CC24CE" w:rsidRPr="00CC24CE" w:rsidRDefault="00685996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IP, Standards.</w:t>
            </w:r>
          </w:p>
        </w:tc>
        <w:tc>
          <w:tcPr>
            <w:tcW w:w="3969" w:type="dxa"/>
            <w:vAlign w:val="center"/>
          </w:tcPr>
          <w:p w14:paraId="23FC6769" w14:textId="1913DE13" w:rsidR="00CC24CE" w:rsidRPr="00CC24CE" w:rsidRDefault="00220A2B" w:rsidP="006859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2.2.4 Industrial and Commercial Practice; production systems</w:t>
            </w:r>
          </w:p>
        </w:tc>
      </w:tr>
      <w:tr w:rsidR="00CC24CE" w14:paraId="22D77C8F" w14:textId="77777777" w:rsidTr="003E37D2">
        <w:trPr>
          <w:trHeight w:val="646"/>
        </w:trPr>
        <w:tc>
          <w:tcPr>
            <w:tcW w:w="1439" w:type="dxa"/>
          </w:tcPr>
          <w:p w14:paraId="1BC82A6E" w14:textId="77777777" w:rsidR="00CC24CE" w:rsidRPr="002679A8" w:rsidRDefault="00CC24CE" w:rsidP="00CC24C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16/05/22</w:t>
            </w:r>
          </w:p>
        </w:tc>
        <w:tc>
          <w:tcPr>
            <w:tcW w:w="3518" w:type="dxa"/>
            <w:vAlign w:val="center"/>
          </w:tcPr>
          <w:p w14:paraId="691080DF" w14:textId="58579F46" w:rsidR="00CC24CE" w:rsidRPr="00CC24CE" w:rsidRDefault="00412D90" w:rsidP="00412D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2.2.5 Systems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14:paraId="392CCCB8" w14:textId="6727B4FC" w:rsidR="00CC24CE" w:rsidRPr="00CC24CE" w:rsidRDefault="00412D90" w:rsidP="00412D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2.2.1 Principles of Designing</w:t>
            </w:r>
          </w:p>
        </w:tc>
      </w:tr>
      <w:tr w:rsidR="00412D90" w14:paraId="71D513B6" w14:textId="77777777" w:rsidTr="003E37D2">
        <w:trPr>
          <w:trHeight w:val="712"/>
        </w:trPr>
        <w:tc>
          <w:tcPr>
            <w:tcW w:w="1439" w:type="dxa"/>
          </w:tcPr>
          <w:p w14:paraId="1B4CA85E" w14:textId="123ADEBA" w:rsidR="00412D90" w:rsidRDefault="00412D90" w:rsidP="00412D9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23/5/22</w:t>
            </w:r>
          </w:p>
        </w:tc>
        <w:tc>
          <w:tcPr>
            <w:tcW w:w="3518" w:type="dxa"/>
            <w:vAlign w:val="center"/>
          </w:tcPr>
          <w:p w14:paraId="66E3E8C6" w14:textId="77337713" w:rsidR="00412D90" w:rsidRDefault="00412D90" w:rsidP="00412D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 Skills Practice</w:t>
            </w:r>
          </w:p>
        </w:tc>
        <w:tc>
          <w:tcPr>
            <w:tcW w:w="3969" w:type="dxa"/>
            <w:vAlign w:val="center"/>
          </w:tcPr>
          <w:p w14:paraId="5065F0D6" w14:textId="1FC3894C" w:rsidR="00412D90" w:rsidRDefault="00412D90" w:rsidP="00412D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 Skills practice</w:t>
            </w:r>
          </w:p>
        </w:tc>
      </w:tr>
      <w:tr w:rsidR="00412D90" w14:paraId="4723C481" w14:textId="77777777" w:rsidTr="008962A2">
        <w:trPr>
          <w:trHeight w:val="530"/>
        </w:trPr>
        <w:tc>
          <w:tcPr>
            <w:tcW w:w="1439" w:type="dxa"/>
          </w:tcPr>
          <w:p w14:paraId="0FF2064C" w14:textId="46AE7BDD" w:rsidR="00412D90" w:rsidRDefault="00412D90" w:rsidP="00412D9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30/5/22</w:t>
            </w:r>
          </w:p>
        </w:tc>
        <w:tc>
          <w:tcPr>
            <w:tcW w:w="7487" w:type="dxa"/>
            <w:gridSpan w:val="2"/>
            <w:vAlign w:val="center"/>
          </w:tcPr>
          <w:p w14:paraId="33225501" w14:textId="5FE987FC" w:rsidR="00412D90" w:rsidRDefault="00412D90" w:rsidP="00412D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HALF TERM HOLIDAY</w:t>
            </w:r>
          </w:p>
        </w:tc>
      </w:tr>
      <w:tr w:rsidR="00412D90" w14:paraId="061A3CF2" w14:textId="77777777" w:rsidTr="00412D90">
        <w:trPr>
          <w:trHeight w:val="884"/>
        </w:trPr>
        <w:tc>
          <w:tcPr>
            <w:tcW w:w="1439" w:type="dxa"/>
          </w:tcPr>
          <w:p w14:paraId="5A231865" w14:textId="45501476" w:rsidR="00412D90" w:rsidRDefault="00412D90" w:rsidP="00412D9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06/6/22</w:t>
            </w:r>
          </w:p>
        </w:tc>
        <w:tc>
          <w:tcPr>
            <w:tcW w:w="3518" w:type="dxa"/>
            <w:vAlign w:val="center"/>
          </w:tcPr>
          <w:p w14:paraId="2C32BA36" w14:textId="77777777" w:rsidR="00412D90" w:rsidRDefault="00412D90" w:rsidP="00412D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Key Term Recall</w:t>
            </w:r>
          </w:p>
          <w:p w14:paraId="0F6BBBE0" w14:textId="5521733A" w:rsidR="00412D90" w:rsidRDefault="00412D90" w:rsidP="00412D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 Skills Practice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14:paraId="3631A5F3" w14:textId="77777777" w:rsidR="00412D90" w:rsidRDefault="00412D90" w:rsidP="00412D90">
            <w:pPr>
              <w:shd w:val="clear" w:color="auto" w:fill="000000" w:themeFill="text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n/a </w:t>
            </w:r>
          </w:p>
          <w:p w14:paraId="33134A68" w14:textId="31F56952" w:rsidR="00412D90" w:rsidRDefault="00412D90" w:rsidP="00412D90">
            <w:pPr>
              <w:shd w:val="clear" w:color="auto" w:fill="000000" w:themeFill="text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Written exam Thursday 9</w:t>
            </w:r>
            <w:r w:rsidRPr="00412D90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June.</w:t>
            </w:r>
          </w:p>
        </w:tc>
      </w:tr>
    </w:tbl>
    <w:p w14:paraId="3FD24926" w14:textId="77777777" w:rsidR="00F113BB" w:rsidRPr="00F113BB" w:rsidRDefault="00F113BB" w:rsidP="00F64503">
      <w:pPr>
        <w:rPr>
          <w:lang w:val="en-US"/>
        </w:rPr>
      </w:pPr>
    </w:p>
    <w:sectPr w:rsidR="00F113BB" w:rsidRPr="00F1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56AA"/>
    <w:multiLevelType w:val="hybridMultilevel"/>
    <w:tmpl w:val="DEECB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369A"/>
    <w:multiLevelType w:val="hybridMultilevel"/>
    <w:tmpl w:val="BF325D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1534FB"/>
    <w:rsid w:val="001C0AE5"/>
    <w:rsid w:val="00220A2B"/>
    <w:rsid w:val="002679A8"/>
    <w:rsid w:val="003E37D2"/>
    <w:rsid w:val="00412D90"/>
    <w:rsid w:val="004733F5"/>
    <w:rsid w:val="004747D8"/>
    <w:rsid w:val="004D047B"/>
    <w:rsid w:val="004E37B1"/>
    <w:rsid w:val="00685996"/>
    <w:rsid w:val="007E6060"/>
    <w:rsid w:val="00821160"/>
    <w:rsid w:val="00882D55"/>
    <w:rsid w:val="008F702C"/>
    <w:rsid w:val="009957A7"/>
    <w:rsid w:val="00B75C1A"/>
    <w:rsid w:val="00C157E4"/>
    <w:rsid w:val="00C9655A"/>
    <w:rsid w:val="00CC24CE"/>
    <w:rsid w:val="00E3487F"/>
    <w:rsid w:val="00E56B28"/>
    <w:rsid w:val="00ED3DF2"/>
    <w:rsid w:val="00EF2ECE"/>
    <w:rsid w:val="00F113BB"/>
    <w:rsid w:val="00F64503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51BA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4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oundoncourt.sharepoint.com/:p:/s/technology-team/EbTqM0P3LFJGt3ICVwHu1W8BgIirUaHRwaLG-lN-A2_fRw?e=a7Yzm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duqas.co.uk/umbraco/surface/blobstorage/download?nodeId=39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D1C13-E2BB-4534-9D36-13E85F82996B}"/>
</file>

<file path=customXml/itemProps2.xml><?xml version="1.0" encoding="utf-8"?>
<ds:datastoreItem xmlns:ds="http://schemas.openxmlformats.org/officeDocument/2006/customXml" ds:itemID="{536C8B3B-E923-435B-85F8-331E0C7C1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4A448-1C8B-4DF2-859F-B59C9927D8A7}">
  <ds:schemaRefs>
    <ds:schemaRef ds:uri="http://purl.org/dc/terms/"/>
    <ds:schemaRef ds:uri="http://purl.org/dc/elements/1.1/"/>
    <ds:schemaRef ds:uri="fd776022-85b3-45ba-bfc0-132fc368960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cdfdb6e-bd28-4df3-a054-13a8c089b97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Linda Hill</cp:lastModifiedBy>
  <cp:revision>7</cp:revision>
  <dcterms:created xsi:type="dcterms:W3CDTF">2022-02-08T17:42:00Z</dcterms:created>
  <dcterms:modified xsi:type="dcterms:W3CDTF">2022-02-14T20:20:00Z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